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BD" w:rsidRPr="00770137" w:rsidRDefault="009B0C75" w:rsidP="00915983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Calculus </w:t>
      </w:r>
      <w:r w:rsidR="000C63F8">
        <w:rPr>
          <w:rFonts w:ascii="Times New Roman" w:hAnsi="Times New Roman" w:cs="Times New Roman"/>
          <w:sz w:val="36"/>
        </w:rPr>
        <w:t>Integration</w:t>
      </w:r>
    </w:p>
    <w:p w:rsidR="009856C7" w:rsidRDefault="000C63F8" w:rsidP="0091598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Grade Level: </w:t>
      </w:r>
      <w:r>
        <w:rPr>
          <w:rFonts w:ascii="Times New Roman" w:hAnsi="Times New Roman" w:cs="Times New Roman"/>
          <w:sz w:val="24"/>
        </w:rPr>
        <w:t>12</w:t>
      </w:r>
    </w:p>
    <w:p w:rsidR="00915983" w:rsidRDefault="00AA3488" w:rsidP="00AA348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en-US"/>
        </w:rPr>
        <w:drawing>
          <wp:inline distT="0" distB="0" distL="0" distR="0">
            <wp:extent cx="1085131" cy="950508"/>
            <wp:effectExtent l="19050" t="0" r="719" b="0"/>
            <wp:docPr id="3" name="Picture 1" descr="C:\Documents and Settings\rooze\Local Settings\Temporary Internet Files\Content.IE5\906J0ASZ\MC900188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ooze\Local Settings\Temporary Internet Files\Content.IE5\906J0ASZ\MC90018871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877" cy="95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9856C7" w:rsidTr="001D4518">
        <w:trPr>
          <w:trHeight w:val="440"/>
        </w:trPr>
        <w:tc>
          <w:tcPr>
            <w:tcW w:w="2448" w:type="dxa"/>
            <w:shd w:val="clear" w:color="auto" w:fill="D9D9D9" w:themeFill="background1" w:themeFillShade="D9"/>
          </w:tcPr>
          <w:p w:rsidR="009856C7" w:rsidRDefault="009856C7" w:rsidP="009159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OVERVIEW</w:t>
            </w:r>
          </w:p>
        </w:tc>
        <w:tc>
          <w:tcPr>
            <w:tcW w:w="7128" w:type="dxa"/>
          </w:tcPr>
          <w:p w:rsidR="00545981" w:rsidRPr="001D4518" w:rsidRDefault="00545981" w:rsidP="00BF57C7">
            <w:pPr>
              <w:rPr>
                <w:rFonts w:ascii="Times New Roman" w:hAnsi="Times New Roman" w:cs="Times New Roman"/>
              </w:rPr>
            </w:pPr>
            <w:r w:rsidRPr="001D4518">
              <w:rPr>
                <w:rFonts w:ascii="Times New Roman" w:hAnsi="Times New Roman" w:cs="Times New Roman" w:hint="eastAsia"/>
              </w:rPr>
              <w:t>T</w:t>
            </w:r>
            <w:r w:rsidRPr="001D4518">
              <w:rPr>
                <w:rFonts w:ascii="Times New Roman" w:hAnsi="Times New Roman" w:cs="Times New Roman"/>
              </w:rPr>
              <w:t>his is the i</w:t>
            </w:r>
            <w:r w:rsidR="004C6F65" w:rsidRPr="001D4518">
              <w:rPr>
                <w:rFonts w:ascii="Times New Roman" w:hAnsi="Times New Roman" w:cs="Times New Roman"/>
              </w:rPr>
              <w:t>ntroductory lesson plan for Integration in Calculus.</w:t>
            </w:r>
            <w:r w:rsidR="001D4518" w:rsidRPr="001D4518">
              <w:rPr>
                <w:rFonts w:ascii="Times New Roman" w:hAnsi="Times New Roman" w:cs="Times New Roman"/>
              </w:rPr>
              <w:t xml:space="preserve"> Then the children will make a website using </w:t>
            </w:r>
            <w:proofErr w:type="spellStart"/>
            <w:r w:rsidR="001D4518" w:rsidRPr="001D4518">
              <w:rPr>
                <w:rFonts w:ascii="Times New Roman" w:hAnsi="Times New Roman" w:cs="Times New Roman"/>
              </w:rPr>
              <w:t>Weebly</w:t>
            </w:r>
            <w:proofErr w:type="spellEnd"/>
            <w:r w:rsidR="001D4518" w:rsidRPr="001D4518">
              <w:rPr>
                <w:rFonts w:ascii="Times New Roman" w:hAnsi="Times New Roman" w:cs="Times New Roman"/>
              </w:rPr>
              <w:t xml:space="preserve"> explaining the Integral.</w:t>
            </w:r>
          </w:p>
        </w:tc>
      </w:tr>
      <w:tr w:rsidR="009856C7">
        <w:trPr>
          <w:trHeight w:val="1025"/>
        </w:trPr>
        <w:tc>
          <w:tcPr>
            <w:tcW w:w="2448" w:type="dxa"/>
            <w:shd w:val="clear" w:color="auto" w:fill="D9D9D9" w:themeFill="background1" w:themeFillShade="D9"/>
          </w:tcPr>
          <w:p w:rsidR="009856C7" w:rsidRDefault="009856C7" w:rsidP="00985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OBJECTIVE</w:t>
            </w:r>
          </w:p>
        </w:tc>
        <w:tc>
          <w:tcPr>
            <w:tcW w:w="7128" w:type="dxa"/>
          </w:tcPr>
          <w:p w:rsidR="009856C7" w:rsidRPr="001D4518" w:rsidRDefault="00770137" w:rsidP="00BF6249">
            <w:pPr>
              <w:rPr>
                <w:rFonts w:ascii="Times New Roman" w:hAnsi="Times New Roman" w:cs="Times New Roman"/>
              </w:rPr>
            </w:pPr>
            <w:r w:rsidRPr="001D4518">
              <w:rPr>
                <w:rFonts w:ascii="Times New Roman" w:hAnsi="Times New Roman" w:cs="Times New Roman"/>
              </w:rPr>
              <w:t xml:space="preserve">Students will </w:t>
            </w:r>
            <w:r w:rsidR="00BF6249" w:rsidRPr="001D4518">
              <w:rPr>
                <w:rFonts w:ascii="Times New Roman" w:hAnsi="Times New Roman" w:cs="Times New Roman"/>
              </w:rPr>
              <w:t>learn about the basic function of the Integral an</w:t>
            </w:r>
            <w:r w:rsidR="004C6F65" w:rsidRPr="001D4518">
              <w:rPr>
                <w:rFonts w:ascii="Times New Roman" w:hAnsi="Times New Roman" w:cs="Times New Roman"/>
              </w:rPr>
              <w:t>d the basic rules of solving an</w:t>
            </w:r>
            <w:r w:rsidR="00BF6249" w:rsidRPr="001D4518">
              <w:rPr>
                <w:rFonts w:ascii="Times New Roman" w:hAnsi="Times New Roman" w:cs="Times New Roman"/>
              </w:rPr>
              <w:t xml:space="preserve"> Integral</w:t>
            </w:r>
            <w:r w:rsidR="004C6F65" w:rsidRPr="001D4518">
              <w:rPr>
                <w:rFonts w:ascii="Times New Roman" w:hAnsi="Times New Roman" w:cs="Times New Roman"/>
              </w:rPr>
              <w:t>. They will learn about Riemann sums and both the indefinite and definite Integral. They will also learn about the Fundamental Theorem of Calculus.</w:t>
            </w:r>
          </w:p>
        </w:tc>
      </w:tr>
      <w:tr w:rsidR="009856C7" w:rsidTr="001D4518">
        <w:trPr>
          <w:trHeight w:val="2582"/>
        </w:trPr>
        <w:tc>
          <w:tcPr>
            <w:tcW w:w="2448" w:type="dxa"/>
            <w:shd w:val="clear" w:color="auto" w:fill="D9D9D9" w:themeFill="background1" w:themeFillShade="D9"/>
          </w:tcPr>
          <w:p w:rsidR="009856C7" w:rsidRDefault="009856C7" w:rsidP="004C6F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STANDARDS</w:t>
            </w:r>
            <w:r w:rsidR="00FE1A86">
              <w:rPr>
                <w:rStyle w:val="FootnoteReference"/>
                <w:rFonts w:ascii="Times New Roman" w:hAnsi="Times New Roman" w:cs="Times New Roman"/>
                <w:sz w:val="24"/>
              </w:rPr>
              <w:footnoteReference w:id="1"/>
            </w:r>
          </w:p>
        </w:tc>
        <w:tc>
          <w:tcPr>
            <w:tcW w:w="7128" w:type="dxa"/>
          </w:tcPr>
          <w:p w:rsidR="00923BA6" w:rsidRPr="001D4518" w:rsidRDefault="004C6F65" w:rsidP="00923BA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Arial"/>
              </w:rPr>
            </w:pPr>
            <w:r w:rsidRPr="001D4518">
              <w:rPr>
                <w:rFonts w:ascii="Times New Roman" w:hAnsi="Times New Roman" w:cs="Arial"/>
                <w:b/>
                <w:bCs/>
              </w:rPr>
              <w:t>C.4.1</w:t>
            </w:r>
            <w:r w:rsidR="00923BA6" w:rsidRPr="001D4518">
              <w:rPr>
                <w:rFonts w:ascii="Times New Roman" w:hAnsi="Times New Roman" w:cs="Arial"/>
                <w:b/>
                <w:bCs/>
              </w:rPr>
              <w:t xml:space="preserve"> </w:t>
            </w:r>
            <w:r w:rsidRPr="001D4518">
              <w:rPr>
                <w:rFonts w:ascii="Times New Roman" w:hAnsi="Times New Roman" w:cs="Arial"/>
              </w:rPr>
              <w:t>Use rectangle approximations to find approximate values of integrals.</w:t>
            </w:r>
          </w:p>
          <w:p w:rsidR="00923BA6" w:rsidRPr="001D4518" w:rsidRDefault="00923BA6" w:rsidP="00923BA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Arial"/>
              </w:rPr>
            </w:pPr>
            <w:r w:rsidRPr="001D4518">
              <w:rPr>
                <w:rFonts w:ascii="Times New Roman" w:hAnsi="Times New Roman" w:cs="Arial"/>
                <w:b/>
                <w:bCs/>
              </w:rPr>
              <w:t xml:space="preserve">C.4.2 </w:t>
            </w:r>
            <w:r w:rsidRPr="001D4518">
              <w:rPr>
                <w:rFonts w:ascii="Times New Roman" w:hAnsi="Times New Roman" w:cs="Arial"/>
              </w:rPr>
              <w:t>Calculate the values of Riemann Sums over equal subdivisions using left, right, and midpoint evaluation points.</w:t>
            </w:r>
          </w:p>
          <w:p w:rsidR="00923BA6" w:rsidRPr="001D4518" w:rsidRDefault="00923BA6" w:rsidP="00923BA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Arial"/>
              </w:rPr>
            </w:pPr>
            <w:r w:rsidRPr="001D4518">
              <w:rPr>
                <w:rFonts w:ascii="Times New Roman" w:hAnsi="Times New Roman" w:cs="Arial"/>
                <w:b/>
                <w:bCs/>
              </w:rPr>
              <w:t xml:space="preserve">C.4.3 </w:t>
            </w:r>
            <w:r w:rsidRPr="001D4518">
              <w:rPr>
                <w:rFonts w:ascii="Times New Roman" w:hAnsi="Times New Roman" w:cs="Arial"/>
              </w:rPr>
              <w:t>Interpret a definite integral as a limit of Riemann Sums.</w:t>
            </w:r>
          </w:p>
          <w:p w:rsidR="00545981" w:rsidRPr="001D4518" w:rsidRDefault="00923BA6" w:rsidP="00923BA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Arial"/>
              </w:rPr>
            </w:pPr>
            <w:r w:rsidRPr="001D4518">
              <w:rPr>
                <w:rFonts w:ascii="Times New Roman" w:hAnsi="Times New Roman" w:cs="Arial"/>
                <w:b/>
                <w:bCs/>
              </w:rPr>
              <w:t xml:space="preserve">C.4.4 </w:t>
            </w:r>
            <w:r w:rsidRPr="001D4518">
              <w:rPr>
                <w:rFonts w:ascii="Times New Roman" w:hAnsi="Times New Roman" w:cs="Arial"/>
              </w:rPr>
              <w:t>Understand the Fundamental Theorem of Calculus: Interpret a definite integral of the rate of change of a quantity over an interval as the change of the quantity over the in</w:t>
            </w:r>
            <w:bookmarkStart w:id="0" w:name="_GoBack"/>
            <w:bookmarkEnd w:id="0"/>
            <w:r w:rsidRPr="001D4518">
              <w:rPr>
                <w:rFonts w:ascii="Times New Roman" w:hAnsi="Times New Roman" w:cs="Arial"/>
              </w:rPr>
              <w:t xml:space="preserve">terval, that is </w:t>
            </w:r>
            <w:r w:rsidRPr="001D4518">
              <w:rPr>
                <w:rFonts w:ascii="Times New Roman" w:hAnsi="Times New Roman" w:cs="Arial"/>
                <w:vertAlign w:val="subscript"/>
              </w:rPr>
              <w:t>a</w:t>
            </w:r>
            <w:r w:rsidRPr="001D4518">
              <w:rPr>
                <w:rFonts w:ascii="Times New Roman" w:hAnsi="Times New Roman" w:cs="Arial"/>
              </w:rPr>
              <w:t>∫</w:t>
            </w:r>
            <w:r w:rsidRPr="001D4518">
              <w:rPr>
                <w:rFonts w:ascii="Times New Roman" w:hAnsi="Times New Roman" w:cs="Arial"/>
                <w:vertAlign w:val="superscript"/>
              </w:rPr>
              <w:t>b</w:t>
            </w:r>
            <w:r w:rsidRPr="001D4518">
              <w:rPr>
                <w:rFonts w:ascii="Times New Roman" w:hAnsi="Times New Roman" w:cs="Arial"/>
              </w:rPr>
              <w:t xml:space="preserve"> ƒ′(</w:t>
            </w:r>
            <w:r w:rsidRPr="001D4518">
              <w:rPr>
                <w:rFonts w:ascii="Times New Roman" w:hAnsi="Times New Roman" w:cs="Arial"/>
                <w:i/>
                <w:iCs/>
              </w:rPr>
              <w:t>x</w:t>
            </w:r>
            <w:proofErr w:type="gramStart"/>
            <w:r w:rsidRPr="001D4518">
              <w:rPr>
                <w:rFonts w:ascii="Times New Roman" w:hAnsi="Times New Roman" w:cs="Arial"/>
              </w:rPr>
              <w:t>)</w:t>
            </w:r>
            <w:r w:rsidRPr="001D4518">
              <w:rPr>
                <w:rFonts w:ascii="Times New Roman" w:hAnsi="Times New Roman" w:cs="Arial"/>
                <w:i/>
                <w:iCs/>
              </w:rPr>
              <w:t>dx</w:t>
            </w:r>
            <w:proofErr w:type="gramEnd"/>
            <w:r w:rsidRPr="001D4518">
              <w:rPr>
                <w:rFonts w:ascii="Times New Roman" w:hAnsi="Times New Roman" w:cs="Arial"/>
              </w:rPr>
              <w:t xml:space="preserve"> = ƒ(</w:t>
            </w:r>
            <w:r w:rsidRPr="001D4518">
              <w:rPr>
                <w:rFonts w:ascii="Times New Roman" w:hAnsi="Times New Roman" w:cs="Arial"/>
                <w:i/>
                <w:iCs/>
              </w:rPr>
              <w:t>b</w:t>
            </w:r>
            <w:r w:rsidRPr="001D4518">
              <w:rPr>
                <w:rFonts w:ascii="Times New Roman" w:hAnsi="Times New Roman" w:cs="Arial"/>
              </w:rPr>
              <w:t>) -ƒ(</w:t>
            </w:r>
            <w:r w:rsidRPr="001D4518">
              <w:rPr>
                <w:rFonts w:ascii="Times New Roman" w:hAnsi="Times New Roman" w:cs="Arial"/>
                <w:i/>
                <w:iCs/>
              </w:rPr>
              <w:t>a</w:t>
            </w:r>
            <w:r w:rsidRPr="001D4518">
              <w:rPr>
                <w:rFonts w:ascii="Times New Roman" w:hAnsi="Times New Roman" w:cs="Arial"/>
              </w:rPr>
              <w:t>).</w:t>
            </w:r>
          </w:p>
        </w:tc>
      </w:tr>
      <w:tr w:rsidR="009856C7" w:rsidTr="001D4518">
        <w:trPr>
          <w:trHeight w:val="1250"/>
        </w:trPr>
        <w:tc>
          <w:tcPr>
            <w:tcW w:w="2448" w:type="dxa"/>
            <w:shd w:val="clear" w:color="auto" w:fill="D9D9D9" w:themeFill="background1" w:themeFillShade="D9"/>
          </w:tcPr>
          <w:p w:rsidR="009856C7" w:rsidRDefault="009856C7" w:rsidP="00985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MATERIALS</w:t>
            </w:r>
          </w:p>
        </w:tc>
        <w:tc>
          <w:tcPr>
            <w:tcW w:w="7128" w:type="dxa"/>
          </w:tcPr>
          <w:p w:rsidR="00897B7F" w:rsidRPr="001D4518" w:rsidRDefault="00897B7F" w:rsidP="00897B7F">
            <w:pPr>
              <w:pStyle w:val="ListParagraph"/>
              <w:numPr>
                <w:ilvl w:val="0"/>
                <w:numId w:val="1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4518">
              <w:rPr>
                <w:rFonts w:ascii="Times New Roman" w:hAnsi="Times New Roman" w:cs="Times New Roman"/>
              </w:rPr>
              <w:t>Smartboard</w:t>
            </w:r>
          </w:p>
          <w:p w:rsidR="00897B7F" w:rsidRPr="001D4518" w:rsidRDefault="00897B7F" w:rsidP="00897B7F">
            <w:pPr>
              <w:pStyle w:val="ListParagraph"/>
              <w:ind w:left="342"/>
              <w:rPr>
                <w:rFonts w:ascii="Times New Roman" w:hAnsi="Times New Roman" w:cs="Times New Roman"/>
              </w:rPr>
            </w:pPr>
            <w:r w:rsidRPr="001D4518">
              <w:rPr>
                <w:rFonts w:ascii="Times New Roman" w:hAnsi="Times New Roman" w:cs="Times New Roman"/>
              </w:rPr>
              <w:t>-Internet (Matlab)</w:t>
            </w:r>
          </w:p>
          <w:p w:rsidR="00897B7F" w:rsidRPr="001D4518" w:rsidRDefault="00897B7F" w:rsidP="00897B7F">
            <w:pPr>
              <w:pStyle w:val="ListParagraph"/>
              <w:numPr>
                <w:ilvl w:val="0"/>
                <w:numId w:val="1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4518">
              <w:rPr>
                <w:rFonts w:ascii="Times New Roman" w:hAnsi="Times New Roman" w:cs="Times New Roman"/>
              </w:rPr>
              <w:t>15 Calculus and Analytical Geometry 9</w:t>
            </w:r>
            <w:r w:rsidRPr="001D4518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D4518">
              <w:rPr>
                <w:rFonts w:ascii="Times New Roman" w:hAnsi="Times New Roman" w:cs="Times New Roman"/>
              </w:rPr>
              <w:t xml:space="preserve"> Edition Textbooks</w:t>
            </w:r>
          </w:p>
          <w:p w:rsidR="00897B7F" w:rsidRPr="001D4518" w:rsidRDefault="00897B7F" w:rsidP="00897B7F">
            <w:pPr>
              <w:pStyle w:val="ListParagraph"/>
              <w:numPr>
                <w:ilvl w:val="0"/>
                <w:numId w:val="1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4518">
              <w:rPr>
                <w:rFonts w:ascii="Times New Roman" w:hAnsi="Times New Roman" w:cs="Times New Roman"/>
              </w:rPr>
              <w:t>A TI-83 PLUS calculator with over-head projector</w:t>
            </w:r>
          </w:p>
          <w:p w:rsidR="00897B7F" w:rsidRPr="001D4518" w:rsidRDefault="00897B7F" w:rsidP="00897B7F">
            <w:pPr>
              <w:pStyle w:val="ListParagraph"/>
              <w:numPr>
                <w:ilvl w:val="0"/>
                <w:numId w:val="1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4518">
              <w:rPr>
                <w:rFonts w:ascii="Times New Roman" w:hAnsi="Times New Roman" w:cs="Times New Roman"/>
              </w:rPr>
              <w:t>Dry erase board and markers</w:t>
            </w:r>
          </w:p>
          <w:p w:rsidR="00897B7F" w:rsidRPr="001D4518" w:rsidRDefault="00897B7F" w:rsidP="00897B7F">
            <w:pPr>
              <w:pStyle w:val="ListParagraph"/>
              <w:ind w:left="342"/>
              <w:rPr>
                <w:rFonts w:ascii="Times New Roman" w:hAnsi="Times New Roman" w:cs="Times New Roman"/>
              </w:rPr>
            </w:pPr>
          </w:p>
        </w:tc>
      </w:tr>
      <w:tr w:rsidR="009856C7" w:rsidTr="00FE1A86">
        <w:trPr>
          <w:trHeight w:val="3293"/>
        </w:trPr>
        <w:tc>
          <w:tcPr>
            <w:tcW w:w="2448" w:type="dxa"/>
            <w:shd w:val="clear" w:color="auto" w:fill="D9D9D9" w:themeFill="background1" w:themeFillShade="D9"/>
          </w:tcPr>
          <w:p w:rsidR="009856C7" w:rsidRDefault="009856C7" w:rsidP="00FE1A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PROCEDURE</w:t>
            </w:r>
          </w:p>
        </w:tc>
        <w:tc>
          <w:tcPr>
            <w:tcW w:w="7128" w:type="dxa"/>
          </w:tcPr>
          <w:p w:rsidR="0016257D" w:rsidRPr="001D4518" w:rsidRDefault="00897B7F" w:rsidP="00897B7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D4518">
              <w:rPr>
                <w:rFonts w:ascii="Times New Roman" w:hAnsi="Times New Roman" w:cs="Times New Roman"/>
              </w:rPr>
              <w:t xml:space="preserve">Ask the students to turn to the Integrating section in the book and to get their calculators out on their desks. </w:t>
            </w:r>
          </w:p>
          <w:p w:rsidR="00BC1565" w:rsidRPr="001D4518" w:rsidRDefault="00BC1565" w:rsidP="00897B7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D4518">
              <w:rPr>
                <w:rFonts w:ascii="Times New Roman" w:hAnsi="Times New Roman" w:cs="Times New Roman"/>
              </w:rPr>
              <w:t>I will explain to the students about the purpose of the Integral and how it gives you Area under a particular function. I will show this by using Riemann sums.</w:t>
            </w:r>
          </w:p>
          <w:p w:rsidR="00897B7F" w:rsidRPr="001D4518" w:rsidRDefault="00BC1565" w:rsidP="00897B7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D4518">
              <w:rPr>
                <w:rFonts w:ascii="Times New Roman" w:hAnsi="Times New Roman" w:cs="Times New Roman"/>
              </w:rPr>
              <w:t xml:space="preserve">I will bring up Matlab on my smartboard and I will show that as the rectangles go to infinity, their area is getting closer and closer to the exact area under the curve.  </w:t>
            </w:r>
          </w:p>
          <w:p w:rsidR="00BC1565" w:rsidRPr="001D4518" w:rsidRDefault="002A2E63" w:rsidP="00897B7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D4518">
              <w:rPr>
                <w:rFonts w:ascii="Times New Roman" w:hAnsi="Times New Roman" w:cs="Times New Roman"/>
              </w:rPr>
              <w:t>After which I will show the students an example of how to solve an integral.</w:t>
            </w:r>
          </w:p>
          <w:p w:rsidR="0016257D" w:rsidRPr="001D4518" w:rsidRDefault="001D4518" w:rsidP="002A2E6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D4518">
              <w:rPr>
                <w:rFonts w:ascii="Times New Roman" w:hAnsi="Times New Roman" w:cs="Times New Roman"/>
              </w:rPr>
              <w:t>Then</w:t>
            </w:r>
            <w:r w:rsidR="002A2E63" w:rsidRPr="001D4518">
              <w:rPr>
                <w:rFonts w:ascii="Times New Roman" w:hAnsi="Times New Roman" w:cs="Times New Roman"/>
              </w:rPr>
              <w:t xml:space="preserve"> I will take any final questions and assign a light homework assignment out of the book. </w:t>
            </w:r>
          </w:p>
          <w:p w:rsidR="001D4518" w:rsidRPr="001D4518" w:rsidRDefault="001D4518" w:rsidP="001D451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D4518">
              <w:rPr>
                <w:rFonts w:ascii="Times New Roman" w:hAnsi="Times New Roman" w:cs="Times New Roman"/>
              </w:rPr>
              <w:t xml:space="preserve">Once the students have a good grasp on the Integral they will go into </w:t>
            </w:r>
            <w:proofErr w:type="spellStart"/>
            <w:r w:rsidRPr="001D4518">
              <w:rPr>
                <w:rFonts w:ascii="Times New Roman" w:hAnsi="Times New Roman" w:cs="Times New Roman"/>
              </w:rPr>
              <w:t>Weebly</w:t>
            </w:r>
            <w:proofErr w:type="spellEnd"/>
            <w:r w:rsidRPr="001D4518">
              <w:rPr>
                <w:rFonts w:ascii="Times New Roman" w:hAnsi="Times New Roman" w:cs="Times New Roman"/>
              </w:rPr>
              <w:t xml:space="preserve"> and make their own site explaining the Integral.</w:t>
            </w:r>
          </w:p>
        </w:tc>
      </w:tr>
      <w:tr w:rsidR="009856C7" w:rsidTr="00AA3488">
        <w:trPr>
          <w:trHeight w:val="1070"/>
        </w:trPr>
        <w:tc>
          <w:tcPr>
            <w:tcW w:w="2448" w:type="dxa"/>
            <w:shd w:val="clear" w:color="auto" w:fill="D9D9D9" w:themeFill="background1" w:themeFillShade="D9"/>
          </w:tcPr>
          <w:p w:rsidR="009856C7" w:rsidRDefault="009856C7" w:rsidP="00985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lastRenderedPageBreak/>
              <w:t>EVALUATION</w:t>
            </w:r>
          </w:p>
        </w:tc>
        <w:tc>
          <w:tcPr>
            <w:tcW w:w="7128" w:type="dxa"/>
          </w:tcPr>
          <w:p w:rsidR="00545981" w:rsidRPr="001D4518" w:rsidRDefault="00545981" w:rsidP="00BF57C7">
            <w:pPr>
              <w:rPr>
                <w:rFonts w:ascii="Times New Roman" w:hAnsi="Times New Roman" w:cs="Times New Roman"/>
              </w:rPr>
            </w:pPr>
            <w:r w:rsidRPr="001D4518">
              <w:rPr>
                <w:rFonts w:ascii="Times New Roman" w:hAnsi="Times New Roman" w:cs="Times New Roman"/>
              </w:rPr>
              <w:t>Walk throughout the classroom observing and answering questions. Assess the accuracy of their answers</w:t>
            </w:r>
            <w:r w:rsidR="002A2E63" w:rsidRPr="001D4518">
              <w:rPr>
                <w:rFonts w:ascii="Times New Roman" w:hAnsi="Times New Roman" w:cs="Times New Roman"/>
              </w:rPr>
              <w:t xml:space="preserve"> and give assistance to any problems they are having on their homework.</w:t>
            </w:r>
          </w:p>
        </w:tc>
      </w:tr>
    </w:tbl>
    <w:p w:rsidR="009856C7" w:rsidRPr="00D63122" w:rsidRDefault="009856C7" w:rsidP="00D63122">
      <w:pPr>
        <w:tabs>
          <w:tab w:val="left" w:pos="7159"/>
        </w:tabs>
        <w:rPr>
          <w:rFonts w:ascii="Times New Roman" w:hAnsi="Times New Roman" w:cs="Times New Roman"/>
          <w:sz w:val="24"/>
        </w:rPr>
      </w:pPr>
    </w:p>
    <w:sectPr w:rsidR="009856C7" w:rsidRPr="00D63122" w:rsidSect="00F309B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F65" w:rsidRDefault="004C6F65" w:rsidP="00915983">
      <w:pPr>
        <w:spacing w:after="0" w:line="240" w:lineRule="auto"/>
      </w:pPr>
      <w:r>
        <w:separator/>
      </w:r>
    </w:p>
  </w:endnote>
  <w:endnote w:type="continuationSeparator" w:id="0">
    <w:p w:rsidR="004C6F65" w:rsidRDefault="004C6F65" w:rsidP="0091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65" w:rsidRPr="00260418" w:rsidRDefault="001D4518" w:rsidP="00260418">
    <w:pPr>
      <w:pStyle w:val="Footer"/>
      <w:jc w:val="center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1D4518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F65" w:rsidRDefault="004C6F65" w:rsidP="00915983">
      <w:pPr>
        <w:spacing w:after="0" w:line="240" w:lineRule="auto"/>
      </w:pPr>
      <w:r>
        <w:separator/>
      </w:r>
    </w:p>
  </w:footnote>
  <w:footnote w:type="continuationSeparator" w:id="0">
    <w:p w:rsidR="004C6F65" w:rsidRDefault="004C6F65" w:rsidP="00915983">
      <w:pPr>
        <w:spacing w:after="0" w:line="240" w:lineRule="auto"/>
      </w:pPr>
      <w:r>
        <w:continuationSeparator/>
      </w:r>
    </w:p>
  </w:footnote>
  <w:footnote w:id="1">
    <w:p w:rsidR="00FE1A86" w:rsidRDefault="00FE1A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D56E9F">
          <w:rPr>
            <w:rStyle w:val="Hyperlink"/>
          </w:rPr>
          <w:t>http://dc.doe.in.gov/Standards/AcademicStandards/StandardSearch.aspx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65" w:rsidRPr="00915983" w:rsidRDefault="004C6F65" w:rsidP="00915983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Calculus</w:t>
    </w:r>
    <w:r w:rsidRPr="00915983">
      <w:rPr>
        <w:rFonts w:ascii="Times New Roman" w:hAnsi="Times New Roman" w:cs="Times New Roman"/>
      </w:rPr>
      <w:t xml:space="preserve"> Lesson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795222"/>
    <w:multiLevelType w:val="hybridMultilevel"/>
    <w:tmpl w:val="5B8C981C"/>
    <w:lvl w:ilvl="0" w:tplc="54D4A524">
      <w:numFmt w:val="bullet"/>
      <w:lvlText w:val="-"/>
      <w:lvlJc w:val="left"/>
      <w:pPr>
        <w:ind w:left="10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>
    <w:nsid w:val="0F3475E8"/>
    <w:multiLevelType w:val="hybridMultilevel"/>
    <w:tmpl w:val="D4D0CA22"/>
    <w:lvl w:ilvl="0" w:tplc="54D4A524">
      <w:numFmt w:val="bullet"/>
      <w:lvlText w:val="-"/>
      <w:lvlJc w:val="left"/>
      <w:pPr>
        <w:ind w:left="70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>
    <w:nsid w:val="113A12BE"/>
    <w:multiLevelType w:val="hybridMultilevel"/>
    <w:tmpl w:val="6B424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27558"/>
    <w:multiLevelType w:val="hybridMultilevel"/>
    <w:tmpl w:val="68367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F57AF"/>
    <w:multiLevelType w:val="hybridMultilevel"/>
    <w:tmpl w:val="2EECA10E"/>
    <w:lvl w:ilvl="0" w:tplc="54D4A524">
      <w:numFmt w:val="bullet"/>
      <w:lvlText w:val="-"/>
      <w:lvlJc w:val="left"/>
      <w:pPr>
        <w:ind w:left="70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41B78"/>
    <w:multiLevelType w:val="hybridMultilevel"/>
    <w:tmpl w:val="02141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650C3"/>
    <w:multiLevelType w:val="hybridMultilevel"/>
    <w:tmpl w:val="02F8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24E07"/>
    <w:multiLevelType w:val="hybridMultilevel"/>
    <w:tmpl w:val="46941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16CCD"/>
    <w:multiLevelType w:val="hybridMultilevel"/>
    <w:tmpl w:val="A5C85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56C7"/>
    <w:rsid w:val="000C63F8"/>
    <w:rsid w:val="00145028"/>
    <w:rsid w:val="00151577"/>
    <w:rsid w:val="0016257D"/>
    <w:rsid w:val="001D4518"/>
    <w:rsid w:val="00260418"/>
    <w:rsid w:val="002A2E63"/>
    <w:rsid w:val="003F7080"/>
    <w:rsid w:val="004C6F65"/>
    <w:rsid w:val="00545981"/>
    <w:rsid w:val="005C078B"/>
    <w:rsid w:val="0062558B"/>
    <w:rsid w:val="00770137"/>
    <w:rsid w:val="00771AEF"/>
    <w:rsid w:val="007E5F53"/>
    <w:rsid w:val="00844BEB"/>
    <w:rsid w:val="0087557C"/>
    <w:rsid w:val="00897B7F"/>
    <w:rsid w:val="008B3FA4"/>
    <w:rsid w:val="008E5890"/>
    <w:rsid w:val="00915983"/>
    <w:rsid w:val="00923BA6"/>
    <w:rsid w:val="009856C7"/>
    <w:rsid w:val="009979DA"/>
    <w:rsid w:val="009B0C75"/>
    <w:rsid w:val="00A36DA1"/>
    <w:rsid w:val="00AA3488"/>
    <w:rsid w:val="00B924AE"/>
    <w:rsid w:val="00BA5AE6"/>
    <w:rsid w:val="00BC1565"/>
    <w:rsid w:val="00BF57C7"/>
    <w:rsid w:val="00BF6249"/>
    <w:rsid w:val="00CA148B"/>
    <w:rsid w:val="00D63122"/>
    <w:rsid w:val="00F309BD"/>
    <w:rsid w:val="00F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15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983"/>
  </w:style>
  <w:style w:type="paragraph" w:styleId="Footer">
    <w:name w:val="footer"/>
    <w:basedOn w:val="Normal"/>
    <w:link w:val="FooterChar"/>
    <w:uiPriority w:val="99"/>
    <w:semiHidden/>
    <w:unhideWhenUsed/>
    <w:rsid w:val="00915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983"/>
  </w:style>
  <w:style w:type="paragraph" w:styleId="ListParagraph">
    <w:name w:val="List Paragraph"/>
    <w:basedOn w:val="Normal"/>
    <w:uiPriority w:val="34"/>
    <w:qFormat/>
    <w:rsid w:val="00BF57C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515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15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157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4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1A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c.doe.in.gov/Standards/AcademicStandards/StandardSearch.asp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1BB0A6F-8C79-4953-9FE2-99C31F21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</dc:creator>
  <cp:lastModifiedBy>coeuser</cp:lastModifiedBy>
  <cp:revision>11</cp:revision>
  <dcterms:created xsi:type="dcterms:W3CDTF">2011-01-21T19:36:00Z</dcterms:created>
  <dcterms:modified xsi:type="dcterms:W3CDTF">2011-02-23T19:51:00Z</dcterms:modified>
</cp:coreProperties>
</file>